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0050.1.169.2021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Szubina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17 grudnia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wyboru długości okresu stosowanego do wyliczenia relacji określonej w art. 243  ust. 1  ustawy z dnia 27 sierpnia 2009r. o finansach publicznych.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1372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1834),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związku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października 2021r.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zmianie ustawy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dochodach jednostek samorządu terytorialnego oraz niektórych innych ustaw (Dz.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1927)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grudnia 2018r.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zmianie ustawy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finansach publicznych oraz niektórych innych ustaw (Dz.U.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2500,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2021r. poz.1927)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 ustalenia relacji określonej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243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2009r.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finansach publicznych na lata 2022-2025 przyjmuje się okres siedmiu lat do wyliczenia średniej arytmetycznej relacji dochodów bieżących powiększonych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dochody ze sprzedaży majątku oraz pomniejszonych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wydatki bieżące do dochodów bieżących budżetu.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przekazuje się Regionalnej Izbie Obrachunkowej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Bydgoszczy oraz Radzie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Szubinie.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Wykonanie zarządzenia powierza się Skarbnikowi Gminy.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Zarządzenie wchodzi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życie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dniem podpisania.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</w:p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560" w:after="560"/>
              <w:ind w:left="1134" w:right="1134" w:firstLine="0"/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t>Burmistrz Szubina</w:t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bCs w:val="0"/>
                <w:i w:val="0"/>
                <w:iCs w:val="0"/>
                <w:smallCaps w:val="0"/>
                <w:color w:val="000000"/>
                <w:sz w:val="22"/>
                <w:szCs w:val="22"/>
              </w:rPr>
              <w:br/>
            </w:r>
            <w:r>
              <w:rPr>
                <w:b/>
                <w:i w:val="0"/>
              </w:rPr>
              <w:t>Mariusz Piotrkowski</w:t>
            </w:r>
          </w:p>
        </w:tc>
      </w:tr>
    </w:tbl>
    <w:p w:rsidR="00A77B3E">
      <w:pPr>
        <w:keepNext/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rPr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szCs w:val="20"/>
        </w:rPr>
      </w:pPr>
      <w:r>
        <w:rPr>
          <w:b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Zgodnie z brzmieniem art. 7 ustawy z dnia 14 października 2021r. o zmianie ustawy o dochodach jednostek samorządu terytorialnego oraz niektórych innych ustaw ustalana na lata 2022-2025 relacja łącznej kwoty przypadających w danym roku budżetowym spłat i wykupów określonych w art. 243 ust. 1 ustawy zmienianej w art. 1 w brzmieniu nadanym niniejszą ustawą, do planowanych dochodów bieżących budżetu nie może przekroczyć średniej arytmetycznej z obliczonych dla ostatnich trzech albo siedmiu lat relacji dochodów bieżących powiększonych o dochody ze sprzedaży majątku oraz pomniejszonych o wydatki bieżące do dochodów bieżących budżetu. Wyboru długości okresu stosowanego do wyliczenia relacji dokonuje organ wykonawczy jednostki samorządu terytorialnego do dnia 31 grudnia 2021r. i informuje o wyborze właściwą izbę obrachunkową oraz organ stanowiący tej jednostki.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Powyższy zapis zobowiązuje organ wykonawczy do wyboru okresu do wyliczenia relacji z art. 243 ust. 1 ustawy o finansach publicznych.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ramach uprawnienia do wyboru jednego z w/w okresów : 3- letniego lub 7- letniego, Burmistrz Szubina dokonuje wyboru okresu 7- letniego.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  <w:r>
        <w:rPr>
          <w:szCs w:val="20"/>
        </w:rPr>
        <w:t>W związku z powyższym wydanie niniejszego zarządzenia jest konieczne i w pełni uzasadnione</w:t>
      </w:r>
      <w:r>
        <w:rPr>
          <w:szCs w:val="20"/>
        </w:rPr>
        <w:t>.</w:t>
      </w:r>
    </w:p>
    <w:tbl>
      <w:tblPr>
        <w:tblStyle w:val="TableSimple1"/>
        <w:tblW w:w="5000" w:type="pct"/>
        <w:tblBorders>
          <w:top w:val="nil"/>
          <w:left w:val="nil"/>
          <w:bottom w:val="nil"/>
          <w:right w:val="nil"/>
        </w:tblBorders>
        <w:tblLook w:val="04A0"/>
      </w:tblPr>
      <w:tblGrid>
        <w:gridCol w:w="4933"/>
        <w:gridCol w:w="4933"/>
      </w:tblGrid>
      <w:tr>
        <w:tblPrEx>
          <w:tblW w:w="5000" w:type="pct"/>
          <w:tblBorders>
            <w:top w:val="nil"/>
            <w:left w:val="nil"/>
            <w:bottom w:val="nil"/>
            <w:right w:val="nil"/>
          </w:tblBorders>
          <w:tblLook w:val="04A0"/>
        </w:tblPrEx>
        <w:tc>
          <w:tcPr>
            <w:tcW w:w="2500" w:type="pct"/>
            <w:tcBorders>
              <w:righ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rPr>
                <w:szCs w:val="20"/>
              </w:rPr>
            </w:pPr>
          </w:p>
        </w:tc>
        <w:tc>
          <w:tcPr>
            <w:tcW w:w="2500" w:type="pct"/>
            <w:tcBorders>
              <w:left w:val="nil"/>
            </w:tcBorders>
            <w:vAlign w:val="top"/>
          </w:tcPr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SIGNATURE_0_1_FUNCTION</w:instrText>
            </w:r>
            <w:r>
              <w:rPr>
                <w:szCs w:val="20"/>
              </w:rPr>
              <w:fldChar w:fldCharType="separate"/>
            </w:r>
            <w:r>
              <w:rPr>
                <w:szCs w:val="20"/>
              </w:rPr>
              <w:t>Burmistrz Szubina</w:t>
            </w:r>
            <w:r>
              <w:rPr>
                <w:szCs w:val="20"/>
              </w:rPr>
              <w:fldChar w:fldCharType="end"/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t xml:space="preserve"> </w:t>
            </w:r>
          </w:p>
          <w:p>
            <w:pPr>
              <w:keepNext w:val="0"/>
              <w:keepLines w:val="0"/>
              <w:widowControl/>
              <w:suppressLineNumbers w:val="0"/>
              <w:shd w:val="clear" w:color="auto" w:fill="auto"/>
              <w:suppressAutoHyphens w:val="0"/>
              <w:spacing w:before="120" w:beforeAutospacing="0" w:after="120" w:afterAutospacing="0" w:line="240" w:lineRule="auto"/>
              <w:ind w:left="0" w:right="0" w:firstLine="0"/>
              <w:contextualSpacing w:val="0"/>
              <w:jc w:val="center"/>
              <w:rPr>
                <w:szCs w:val="20"/>
              </w:rPr>
            </w:pP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SIGNATURE_0_1_FIRSTNAME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 xml:space="preserve">Mariusz </w:t>
            </w:r>
            <w:r>
              <w:rPr>
                <w:szCs w:val="20"/>
              </w:rPr>
              <w:fldChar w:fldCharType="end"/>
            </w:r>
            <w:r>
              <w:rPr>
                <w:szCs w:val="20"/>
              </w:rPr>
              <w:fldChar w:fldCharType="begin"/>
            </w:r>
            <w:r>
              <w:rPr>
                <w:szCs w:val="20"/>
              </w:rPr>
              <w:instrText>SIGNATURE_0_1_LASTNAME</w:instrText>
            </w:r>
            <w:r>
              <w:rPr>
                <w:szCs w:val="20"/>
              </w:rPr>
              <w:fldChar w:fldCharType="separate"/>
            </w:r>
            <w:r>
              <w:rPr>
                <w:b/>
                <w:szCs w:val="20"/>
              </w:rPr>
              <w:t>Piotrkowski</w:t>
            </w:r>
            <w:r>
              <w:rPr>
                <w:szCs w:val="20"/>
              </w:rPr>
              <w:fldChar w:fldCharType="end"/>
            </w:r>
          </w:p>
        </w:tc>
      </w:tr>
    </w:tbl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szCs w:val="20"/>
        </w:rPr>
      </w:pP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7DE9639A-C068-4C4B-97D6-282C57AB1BEF.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7DE9639A-C068-4C4B-97D6-282C57AB1BEF.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Simple1">
    <w:name w:val="Table Simple 1"/>
    <w:basedOn w:val="TableNormal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Szubina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0050.1.169.2021 z dnia 17 grudnia 2021 r.</dc:title>
  <dc:subject>w sprawie wyboru długości okresu stosowanego do wyliczenia relacji określonej w^art.^243^ ust.^1^ ustawy z^dnia 27^sierpnia 2009r. o^finansach publicznych.</dc:subject>
  <dc:creator>RenataK</dc:creator>
  <cp:lastModifiedBy>RenataK</cp:lastModifiedBy>
  <cp:revision>1</cp:revision>
  <dcterms:created xsi:type="dcterms:W3CDTF">2021-12-20T10:09:29Z</dcterms:created>
  <dcterms:modified xsi:type="dcterms:W3CDTF">2021-12-20T10:09:29Z</dcterms:modified>
  <cp:category>Akt prawny</cp:category>
</cp:coreProperties>
</file>